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45" w:rsidRPr="00EF701B" w:rsidRDefault="004D5B45" w:rsidP="004D5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4D5B45" w:rsidRDefault="004D5B45" w:rsidP="004D5B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B45" w:rsidRPr="00455F05" w:rsidRDefault="004D5B45" w:rsidP="004D5B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4D5B45" w:rsidRPr="00455F05" w:rsidRDefault="004D5B45" w:rsidP="004D5B4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4D5B45" w:rsidRDefault="004D5B45" w:rsidP="004D5B4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4D5B45" w:rsidRPr="00455F05" w:rsidRDefault="004D5B45" w:rsidP="004D5B4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4D5B45" w:rsidRDefault="004D5B45" w:rsidP="004D5B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4D5B45" w:rsidRDefault="004D5B45" w:rsidP="004D5B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4D5B45" w:rsidRDefault="004D5B45" w:rsidP="004D5B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4D5B45" w:rsidRPr="00455F0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D5B45" w:rsidRDefault="004D5B45" w:rsidP="004D5B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4D5B45" w:rsidRDefault="004D5B45" w:rsidP="004D5B45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94"/>
      </w:tblGrid>
      <w:tr w:rsidR="004D5B45" w:rsidRPr="00455F05" w:rsidTr="0080613D">
        <w:trPr>
          <w:trHeight w:val="323"/>
          <w:jc w:val="center"/>
        </w:trPr>
        <w:tc>
          <w:tcPr>
            <w:tcW w:w="5000" w:type="pct"/>
            <w:vAlign w:val="center"/>
          </w:tcPr>
          <w:p w:rsidR="004D5B45" w:rsidRPr="005B5F14" w:rsidRDefault="004D5B45" w:rsidP="0080613D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</w:tc>
      </w:tr>
      <w:tr w:rsidR="004D5B45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4D5B45" w:rsidRPr="00EA3A96" w:rsidRDefault="004D5B45" w:rsidP="0080613D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Кибергигиена и работа с большими данными</w:t>
            </w:r>
          </w:p>
        </w:tc>
      </w:tr>
      <w:tr w:rsidR="004D5B45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4D5B45" w:rsidRPr="00454065" w:rsidRDefault="004D5B45" w:rsidP="0080613D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45" w:rsidRDefault="004D5B45" w:rsidP="004D5B4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D5B45" w:rsidRDefault="004D5B45" w:rsidP="004D5B4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Смирнова Елена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7051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Word.Document.12 "C:\\Users\\admin\\Desktop\\структура программы.docx" OLE_LINK1 \a \r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\* MERGEFORMAT </w:instrText>
      </w:r>
      <w:r w:rsidR="00E77051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5B5F14">
        <w:rPr>
          <w:rFonts w:ascii="Times New Roman" w:hAnsi="Times New Roman" w:cs="Times New Roman"/>
          <w:sz w:val="28"/>
          <w:szCs w:val="28"/>
        </w:rPr>
        <w:t>кандидат</w:t>
      </w:r>
      <w:r w:rsidR="00E77051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педагогических наук </w:t>
      </w:r>
    </w:p>
    <w:p w:rsidR="004D5B45" w:rsidRDefault="004D5B45" w:rsidP="004D5B4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45" w:rsidRPr="00455F05" w:rsidRDefault="004D5B45" w:rsidP="004D5B4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B45" w:rsidRDefault="004D5B45" w:rsidP="004D5B4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4D5B45" w:rsidRDefault="004D5B45" w:rsidP="004D5B4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0591" w:rsidRPr="00BE0EF4" w:rsidRDefault="004D5B45" w:rsidP="00BE0EF4">
      <w:pPr>
        <w:widowControl w:val="0"/>
        <w:shd w:val="clear" w:color="auto" w:fill="FFFFFF"/>
        <w:tabs>
          <w:tab w:val="left" w:pos="61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  <w:bookmarkStart w:id="0" w:name="_GoBack"/>
      <w:bookmarkEnd w:id="0"/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326952">
      <w:pPr>
        <w:pStyle w:val="a4"/>
        <w:tabs>
          <w:tab w:val="left" w:pos="28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326952" w:rsidRPr="00326952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едлагаемый курс предоставляет возможности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r w:rsidR="004F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критического мышления и аналитических умений по оценке информации, получаемой в интернет – пространстве. 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уделено</w:t>
      </w:r>
      <w:r w:rsidR="00747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сетевому этикету и правилам работы с компьютерными сетями, а также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исследовательской работе обучающихся по распознаванию опасного и вредоносного интернет-контента, по отработке действий</w:t>
      </w:r>
      <w:r w:rsidR="000C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выявленных интернет-угроз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>, по нейтрализации негативного влияния</w:t>
      </w:r>
      <w:r w:rsidR="00A3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источников информации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64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Программой предусмотрены этапы подготовки обучающихся к государственной итоговой аттестации по информатике в области тем «Информационные процессы», «Сетевые технологии», «Информационная безопасность».</w:t>
      </w:r>
    </w:p>
    <w:p w:rsidR="003D45B1" w:rsidRDefault="003D45B1" w:rsidP="00C70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56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52DD">
        <w:rPr>
          <w:rFonts w:ascii="Times New Roman" w:eastAsia="Times New Roman" w:hAnsi="Times New Roman" w:cs="Times New Roman"/>
          <w:color w:val="000000"/>
          <w:sz w:val="24"/>
          <w:szCs w:val="24"/>
        </w:rPr>
        <w:t>9 и 11</w:t>
      </w:r>
      <w:r w:rsidR="00154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6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  <w:r w:rsid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группы - </w:t>
      </w:r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AC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AC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A13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r w:rsidR="001C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</w:t>
      </w:r>
      <w:r w:rsidR="00483A2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и осмысленного использования интернет – пространства.</w:t>
      </w:r>
    </w:p>
    <w:p w:rsidR="00483A2A" w:rsidRDefault="00483A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4411E8" w:rsidRDefault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0B52DD" w:rsidRDefault="000B52D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B6FAD" w:rsidRDefault="00C76050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154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практических навыков работы </w:t>
      </w:r>
      <w:r w:rsidR="001A5850">
        <w:rPr>
          <w:rFonts w:ascii="Times New Roman" w:eastAsia="Times New Roman" w:hAnsi="Times New Roman" w:cs="Times New Roman"/>
          <w:color w:val="000000"/>
          <w:sz w:val="24"/>
          <w:szCs w:val="24"/>
        </w:rPr>
        <w:t>с сетевыми технологиями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2876" w:rsidRDefault="001B6FAD" w:rsidP="00582876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навыков </w:t>
      </w:r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безопасной р</w:t>
      </w:r>
      <w:r w:rsidR="000B5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в интернет – </w:t>
      </w:r>
      <w:proofErr w:type="gramStart"/>
      <w:r w:rsidR="000B52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</w:t>
      </w:r>
      <w:proofErr w:type="gramEnd"/>
      <w:r w:rsidR="000B52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52DD" w:rsidRPr="00582876" w:rsidRDefault="000B52DD" w:rsidP="00582876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технологиях</w:t>
      </w:r>
      <w:r w:rsidRPr="000B5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обработки и анализа больших объемов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6FAD" w:rsidRP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аналитические навыки;</w:t>
      </w:r>
    </w:p>
    <w:p w:rsidR="001B6FAD" w:rsidRPr="001B6FAD" w:rsidRDefault="005A3460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критическое мышлени</w:t>
      </w:r>
      <w:r w:rsidR="00C7605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 w:rsidP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4411E8" w:rsidRDefault="000D12A9" w:rsidP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B6FAD" w:rsidRPr="001B6FAD" w:rsidRDefault="001B6FAD" w:rsidP="001B6FA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личности, как аккуратность, внимательность, находчивость, целеустремленность.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0D7999" w:rsidRDefault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FE3" w:rsidRPr="000D7999" w:rsidRDefault="000D7999" w:rsidP="00BC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999">
        <w:rPr>
          <w:rFonts w:ascii="Times New Roman" w:hAnsi="Times New Roman"/>
          <w:sz w:val="24"/>
          <w:szCs w:val="24"/>
        </w:rPr>
        <w:t>Обучающийся</w:t>
      </w:r>
      <w:r w:rsidR="00BC4FE3" w:rsidRPr="000D7999">
        <w:rPr>
          <w:rFonts w:ascii="Times New Roman" w:hAnsi="Times New Roman"/>
          <w:sz w:val="24"/>
          <w:szCs w:val="24"/>
        </w:rPr>
        <w:t xml:space="preserve"> научится:</w:t>
      </w:r>
    </w:p>
    <w:p w:rsidR="000B52DD" w:rsidRPr="000B52DD" w:rsidRDefault="000B52DD" w:rsidP="000B52DD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DD">
        <w:rPr>
          <w:rFonts w:ascii="Times New Roman" w:eastAsia="Times New Roman" w:hAnsi="Times New Roman" w:cs="Times New Roman"/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0B52DD" w:rsidRPr="000B52DD" w:rsidRDefault="000B52DD" w:rsidP="000B52DD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DD">
        <w:rPr>
          <w:rFonts w:ascii="Times New Roman" w:eastAsia="Times New Roman" w:hAnsi="Times New Roman" w:cs="Times New Roman"/>
          <w:sz w:val="24"/>
          <w:szCs w:val="24"/>
        </w:rPr>
        <w:t>понимать общие принципы разработ</w:t>
      </w:r>
      <w:r w:rsidR="00095C96">
        <w:rPr>
          <w:rFonts w:ascii="Times New Roman" w:eastAsia="Times New Roman" w:hAnsi="Times New Roman" w:cs="Times New Roman"/>
          <w:sz w:val="24"/>
          <w:szCs w:val="24"/>
        </w:rPr>
        <w:t>ки и функционирования интернет-</w:t>
      </w:r>
      <w:r w:rsidRPr="000B52DD">
        <w:rPr>
          <w:rFonts w:ascii="Times New Roman" w:eastAsia="Times New Roman" w:hAnsi="Times New Roman" w:cs="Times New Roman"/>
          <w:sz w:val="24"/>
          <w:szCs w:val="24"/>
        </w:rPr>
        <w:t>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0B52DD" w:rsidRPr="000B52DD" w:rsidRDefault="000B52DD" w:rsidP="000B52DD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DD">
        <w:rPr>
          <w:rFonts w:ascii="Times New Roman" w:eastAsia="Times New Roman" w:hAnsi="Times New Roman" w:cs="Times New Roman"/>
          <w:sz w:val="24"/>
          <w:szCs w:val="24"/>
        </w:rPr>
        <w:t>критически оценивать информацию, полученную из сети Интернет.</w:t>
      </w:r>
    </w:p>
    <w:p w:rsidR="000B52DD" w:rsidRPr="000B52DD" w:rsidRDefault="000B52DD" w:rsidP="000B52DD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52DD"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Фано;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  <w:proofErr w:type="gramEnd"/>
    </w:p>
    <w:p w:rsidR="000B52DD" w:rsidRPr="000B52DD" w:rsidRDefault="000B52DD" w:rsidP="000B52DD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DD">
        <w:rPr>
          <w:rFonts w:ascii="Times New Roman" w:eastAsia="Times New Roman" w:hAnsi="Times New Roman" w:cs="Times New Roman"/>
          <w:sz w:val="24"/>
          <w:szCs w:val="24"/>
        </w:rPr>
        <w:t>использовать на практике общие правила 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0B52DD" w:rsidRPr="000B52DD" w:rsidRDefault="000B52DD" w:rsidP="000B52DD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DD">
        <w:rPr>
          <w:rFonts w:ascii="Times New Roman" w:eastAsia="Times New Roman" w:hAnsi="Times New Roman" w:cs="Times New Roman"/>
          <w:sz w:val="24"/>
          <w:szCs w:val="24"/>
        </w:rPr>
        <w:t>использовать компьютерные сети для обмена данными при решении прикладных задач;</w:t>
      </w:r>
    </w:p>
    <w:p w:rsidR="000B52DD" w:rsidRPr="000B52DD" w:rsidRDefault="000B52DD" w:rsidP="000B52DD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DD">
        <w:rPr>
          <w:rFonts w:ascii="Times New Roman" w:eastAsia="Times New Roman" w:hAnsi="Times New Roman" w:cs="Times New Roman"/>
          <w:sz w:val="24"/>
          <w:szCs w:val="24"/>
        </w:rPr>
        <w:t>понимать структуру доменных имен; принципы IP-адресации узлов сети;</w:t>
      </w:r>
    </w:p>
    <w:p w:rsidR="000B52DD" w:rsidRPr="000B52DD" w:rsidRDefault="000B52DD" w:rsidP="000B52DD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DD">
        <w:rPr>
          <w:rFonts w:ascii="Times New Roman" w:eastAsia="Times New Roman" w:hAnsi="Times New Roman" w:cs="Times New Roman"/>
          <w:sz w:val="24"/>
          <w:szCs w:val="24"/>
        </w:rPr>
        <w:t>представлять общие принципы разработки и функционирования интернет-приложений (сайты, блоги и др.);</w:t>
      </w:r>
    </w:p>
    <w:p w:rsidR="000B52DD" w:rsidRPr="000B52DD" w:rsidRDefault="000B52DD" w:rsidP="000B52DD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DD">
        <w:rPr>
          <w:rFonts w:ascii="Times New Roman" w:eastAsia="Times New Roman" w:hAnsi="Times New Roman" w:cs="Times New Roman"/>
          <w:sz w:val="24"/>
          <w:szCs w:val="24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0B52DD" w:rsidRPr="000B52DD" w:rsidRDefault="000B52DD" w:rsidP="000B52DD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DD">
        <w:rPr>
          <w:rFonts w:ascii="Times New Roman" w:eastAsia="Times New Roman" w:hAnsi="Times New Roman" w:cs="Times New Roman"/>
          <w:sz w:val="24"/>
          <w:szCs w:val="24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0B52DD" w:rsidRPr="000B52DD" w:rsidRDefault="000B52DD" w:rsidP="000B52DD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2DD">
        <w:rPr>
          <w:rFonts w:ascii="Times New Roman" w:eastAsia="Times New Roman" w:hAnsi="Times New Roman" w:cs="Times New Roman"/>
          <w:sz w:val="24"/>
          <w:szCs w:val="24"/>
        </w:rPr>
        <w:t>использовать методы машинного обучения при анализе данных; использовать представление о проблеме хране</w:t>
      </w:r>
      <w:r>
        <w:rPr>
          <w:rFonts w:ascii="Times New Roman" w:eastAsia="Times New Roman" w:hAnsi="Times New Roman" w:cs="Times New Roman"/>
          <w:sz w:val="24"/>
          <w:szCs w:val="24"/>
        </w:rPr>
        <w:t>ния и обработки больших данных.</w:t>
      </w:r>
    </w:p>
    <w:p w:rsidR="008A51E1" w:rsidRDefault="008A51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7999" w:rsidRPr="000D7999" w:rsidRDefault="002A79B0" w:rsidP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ацией;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твенные возможности ее решения;</w:t>
      </w:r>
    </w:p>
    <w:p w:rsidR="007C1D38" w:rsidRDefault="000D7999" w:rsidP="007C1D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gramStart"/>
      <w:r w:rsidR="007C1D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7C1D38" w:rsidRDefault="007C1D38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D38" w:rsidRDefault="002A79B0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, по аналогии) и делать выводы;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задач;</w:t>
      </w:r>
    </w:p>
    <w:p w:rsidR="000D7999" w:rsidRPr="00560ED4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7C1D38" w:rsidRP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35787" w:rsidRDefault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 w:rsidR="00095C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761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групповая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вводное занятие;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занятие;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</w:t>
      </w:r>
      <w:r w:rsidR="003F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(исследовательская работа, решение кейсов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над учебным проектом;</w:t>
      </w:r>
    </w:p>
    <w:p w:rsidR="002A79B0" w:rsidRDefault="002A79B0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обобщающее занятие.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Формы контроля результатов освоения программы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происходит в форме интерактивного тестирования.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184D7E" w:rsidRDefault="00184D7E" w:rsidP="000761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2649"/>
        <w:gridCol w:w="4395"/>
        <w:gridCol w:w="1713"/>
      </w:tblGrid>
      <w:tr w:rsidR="005B7E0E" w:rsidRPr="005B7E0E" w:rsidTr="00445E38">
        <w:tc>
          <w:tcPr>
            <w:tcW w:w="959" w:type="dxa"/>
            <w:vAlign w:val="center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E0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49" w:type="dxa"/>
            <w:vAlign w:val="center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E0E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395" w:type="dxa"/>
            <w:vAlign w:val="center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E0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E0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  <w:vMerge w:val="restart"/>
            <w:vAlign w:val="center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Техника безопасности и эргономика рабочего места. Стандарты ТСО. Ресурсосбережение</w:t>
            </w:r>
          </w:p>
        </w:tc>
        <w:tc>
          <w:tcPr>
            <w:tcW w:w="1713" w:type="dxa"/>
            <w:vMerge w:val="restart"/>
            <w:vAlign w:val="center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Количество информации. Формула Хартли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Информация и вероятность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Формула Шеннона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Передача данных. Скорость передачи данных. Обнаружение ошибок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Помехоустойчивые коды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Сжатие данных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Префиксные коды. Условие Фано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 xml:space="preserve">Алгоритм Хаффмана. </w:t>
            </w:r>
          </w:p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r w:rsidRPr="005B7E0E">
              <w:rPr>
                <w:rFonts w:ascii="Times New Roman" w:hAnsi="Times New Roman"/>
                <w:sz w:val="24"/>
                <w:szCs w:val="24"/>
                <w:lang w:val="en-US"/>
              </w:rPr>
              <w:t>LZW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Сжатие с потерями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Информация и управление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tabs>
                <w:tab w:val="left" w:pos="504"/>
                <w:tab w:val="center" w:pos="2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Правовая охрана программ и данных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Законодательство РФ «Об информации, информационных технологиях и о защите информации»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представление информации (дискретная форма представления информации, единицы измерения количества информации)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tabs>
                <w:tab w:val="left" w:pos="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 xml:space="preserve">Решение заданий ОГЭ и ЕГЭ по информатике, включающих такие содержательные элементы, как процесс передачи информации, сигнал, скорость передачи информации, искажение </w:t>
            </w:r>
            <w:r w:rsidRPr="005B7E0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кодирование и декодирование информации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оценка количественных параметров информационных объектов; объем памяти, необходимый для хранения объектов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оценка количественных параметров информационных процессов; скорость передачи и обработки объектов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дискретное представление текстовой, графической, звуковой информации и видеоинформации; единицы измерения количества информации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дискретное представление текстовой, графической, звуковой информации и видеоинформации; единицы измерения количества информации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дискретное представление текстовой, графической, звуковой информации и видеоинформации; единицы измерения количества информации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системы, компоненты, состояние и взаимодействие компонентов; информационное взаимодействие в системе, управление, обратная связь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профессиональная информационная деятельность, информационные ресурсы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49" w:type="dxa"/>
            <w:vMerge w:val="restart"/>
            <w:vAlign w:val="center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Компьютерные сети. Основные понятия</w:t>
            </w:r>
          </w:p>
        </w:tc>
        <w:tc>
          <w:tcPr>
            <w:tcW w:w="1713" w:type="dxa"/>
            <w:vMerge w:val="restart"/>
            <w:vAlign w:val="center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Локальные сети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Адреса в Интернете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Практикум: тестирование сети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Всемирная паутина. Поиск информации в Интернете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Электронная почта. Другие службы Интернета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Электронная коммерция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Право и этика в Интернете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информация в компьютерных сетях, некомпьютерных источниках информации; компьютерные энциклопедии и справочники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ОГЭ и ЕГЭ по информатике, включающих такие содержательные элементы, как компьютерные и некомпьютерные каталоги, поисковые машины, формулировка запросов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электронная почта, правила переписки, приложения к письмам, отправка и получение сообщения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сохранение информационных объектов из компьютерных сетей и ссылок на них для индивидуального использования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организация информации в среде коллективного использования информационных ресурсов (форум, телеконференция, чат)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архитектура компьютеров и компьютерных сетей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 xml:space="preserve">Решение заданий ЕГЭ по информатике, включающих такие элементы содержания, как специальное программное обеспечение средств </w:t>
            </w:r>
            <w:r w:rsidRPr="005B7E0E"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телекоммуникационных технологий; инструменты создания информационных объектов для Интернета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49" w:type="dxa"/>
            <w:vMerge w:val="restart"/>
            <w:vAlign w:val="center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Вредоносные программы</w:t>
            </w:r>
          </w:p>
        </w:tc>
        <w:tc>
          <w:tcPr>
            <w:tcW w:w="1713" w:type="dxa"/>
            <w:vMerge w:val="restart"/>
            <w:vAlign w:val="center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Защита от вредоносных программ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«Обзор антивирусных программ»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«Работа с антивирусными программами»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«Знакомство с альтернативной операционной системой»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шифрование? </w:t>
            </w:r>
            <w:proofErr w:type="spellStart"/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Хэширование</w:t>
            </w:r>
            <w:proofErr w:type="spellEnd"/>
            <w:r w:rsidRPr="005B7E0E">
              <w:rPr>
                <w:rFonts w:ascii="Times New Roman" w:hAnsi="Times New Roman" w:cs="Times New Roman"/>
                <w:sz w:val="24"/>
                <w:szCs w:val="24"/>
              </w:rPr>
              <w:t xml:space="preserve"> и пароли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Современные алгоритмы шифрования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«Шифрование и дешифрование»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Стеганография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0E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Интернете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защита информации от компьютерных вирусов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содержательные элементы, как информационная этика и право, информационная безопасность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49" w:type="dxa"/>
            <w:vMerge w:val="restart"/>
            <w:vAlign w:val="center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Технологии обработки и анализа больших объемов данных</w:t>
            </w: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Определение больших данных. Технологии хранения больших данных</w:t>
            </w:r>
          </w:p>
        </w:tc>
        <w:tc>
          <w:tcPr>
            <w:tcW w:w="1713" w:type="dxa"/>
            <w:vMerge w:val="restart"/>
            <w:vAlign w:val="center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Источники больших данных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Характеристика и сферы применения больших данных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Методы и техники анализа, применимые к большим данным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 xml:space="preserve">Основы построения </w:t>
            </w:r>
            <w:proofErr w:type="spellStart"/>
            <w:r w:rsidRPr="005B7E0E">
              <w:rPr>
                <w:rFonts w:ascii="Times New Roman" w:hAnsi="Times New Roman"/>
                <w:sz w:val="24"/>
                <w:szCs w:val="24"/>
              </w:rPr>
              <w:t>нейросетей</w:t>
            </w:r>
            <w:proofErr w:type="spellEnd"/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Место нейрокомпьютеров в современных информационных технологиях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кейса: «Технологии обработки и анализа больших объемов данных»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Решение кейса: «Технологии обработки и анализа больших объемов данных»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Представление результатов работы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959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49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Представление результатов работы</w:t>
            </w:r>
          </w:p>
        </w:tc>
        <w:tc>
          <w:tcPr>
            <w:tcW w:w="1713" w:type="dxa"/>
            <w:vMerge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E0E" w:rsidRPr="005B7E0E" w:rsidTr="00445E38">
        <w:tc>
          <w:tcPr>
            <w:tcW w:w="8003" w:type="dxa"/>
            <w:gridSpan w:val="3"/>
          </w:tcPr>
          <w:p w:rsidR="005B7E0E" w:rsidRPr="005B7E0E" w:rsidRDefault="005B7E0E" w:rsidP="005B7E0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7E0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5B7E0E" w:rsidRPr="005B7E0E" w:rsidRDefault="005B7E0E" w:rsidP="005B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E0E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7E0E" w:rsidRDefault="005B7E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="005B7E0E" w:rsidRPr="005B7E0E">
        <w:rPr>
          <w:rFonts w:ascii="Times New Roman" w:eastAsia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07612D" w:rsidRDefault="000761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E0E" w:rsidRPr="005B7E0E" w:rsidRDefault="005B7E0E" w:rsidP="005B7E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E0E">
        <w:rPr>
          <w:rFonts w:ascii="Times New Roman" w:eastAsia="Times New Roman" w:hAnsi="Times New Roman" w:cs="Times New Roman"/>
          <w:sz w:val="24"/>
          <w:szCs w:val="24"/>
        </w:rPr>
        <w:t>Техника безопасности и эргономика рабочего места.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тандарты ТСО. Ресурсосбережение.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ство информации. Формула Хартли. Информация и вероятность. Формула Шеннона.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Передача данных. Скорость пере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дачи данных. Обнаружение ошибок. Помехоустойчивые коды. Сжатие данных. Префиксные коды. Условие Фано. Алгоритм Хаффмана. Алгоритм LZW. Сжатие с потерями. Информация и управление. Информационное общество.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Правовая охрана программ и 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нных.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Законодательство РФ «Об информации, информационных технологиях и о защите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Решение заданий ОГЭ по информатике, включающих такие содержательные элементы, как представление информации (дискретная форма представления информации, единицы измерения количества информации)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кодирование и декодирование информации</w:t>
      </w:r>
      <w:r>
        <w:t xml:space="preserve">;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оценка количественных параметров информационных объектов; объем памяти, необходимый для хранения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B7E0E">
        <w:t xml:space="preserve">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скорость передачи и обработки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Решение заданий ОГЭ и ЕГЭ по информатике, включающих такие содержательные элементы, как процесс передачи информации, сигнал, скорость передачи информации, искажение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Решение заданий ЕГЭ по информатике, включающих такие элементы содержания, как дискретное представление текстовой, графической, звуковой информации и видеоинформации; единицы измерения количества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компоненты, состояние и взаимодействие компонентов; информационное взаимодействие в системе, управление, обратная связь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профессиональная информационная деятельность, информационные ресурсы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E0E" w:rsidRDefault="005B7E0E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19C" w:rsidRDefault="0023219C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B7E0E" w:rsidRPr="005B7E0E">
        <w:rPr>
          <w:rFonts w:ascii="Times New Roman" w:eastAsia="Times New Roman" w:hAnsi="Times New Roman" w:cs="Times New Roman"/>
          <w:b/>
          <w:sz w:val="24"/>
          <w:szCs w:val="24"/>
        </w:rPr>
        <w:t>Компьютерные сети</w:t>
      </w:r>
    </w:p>
    <w:p w:rsidR="00B6252E" w:rsidRDefault="00B6252E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71A" w:rsidRDefault="005B7E0E" w:rsidP="005B7E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E0E">
        <w:rPr>
          <w:rFonts w:ascii="Times New Roman" w:eastAsia="Times New Roman" w:hAnsi="Times New Roman" w:cs="Times New Roman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ьютерные сети. Основные понятия. Локальные сети. Сеть Интернет. Адреса в Интернете.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Практикум: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 сети.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Всемирная паутин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Поиск информации в Интернете.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почта. Другие службы Интернета. Электронная коммерция. Право и этика в Интернете.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Решение заданий ОГЭ по информатике, включающих такие содержательные элементы, как информация в компьютерных сетях, некомпьютерных источниках информации; компьютерные энциклопедии и справочники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электронная почта, правила переписки, приложения к письмам, отправка и получение сообщения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сохранение информационных объектов из компьютерных сетей и ссылок на них для индивидуального 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организация информации в среде коллективного использования информационных ресурсов (форум, телеконференция, чат)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Решение заданий ОГЭ и ЕГЭ по информатике, включающих такие содержательные элементы, как компьютерные и некомпьютерные каталоги, поисковые машины, формулировка запросов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Решение заданий ЕГЭ по информатике, включающих такие элементы содержания, как архитектура компьютеров и компьютерных сетей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специальное программное обеспечение средств телекоммуникационных технологий; инструменты создания информационных объектов для Интернета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E0E" w:rsidRDefault="005B7E0E" w:rsidP="005B7E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71A" w:rsidRPr="00E9271A" w:rsidRDefault="00E9271A" w:rsidP="00E927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E9271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B7E0E" w:rsidRPr="005B7E0E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безопасность</w:t>
      </w:r>
    </w:p>
    <w:p w:rsidR="00E9271A" w:rsidRPr="00E9271A" w:rsidRDefault="00E9271A" w:rsidP="00E927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E0E" w:rsidRDefault="005B7E0E" w:rsidP="005B7E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Вредоносные программы. Защита от вредоносных программ.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«Обзор антивирусных программ».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Практическая работа: «Рабо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с антивирусными программами».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Практическая работа: «Знакомство с альтер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нативной операционной системой».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 xml:space="preserve">Что такое шифрование? </w:t>
      </w:r>
      <w:proofErr w:type="spellStart"/>
      <w:r w:rsidRPr="005B7E0E">
        <w:rPr>
          <w:rFonts w:ascii="Times New Roman" w:eastAsia="Times New Roman" w:hAnsi="Times New Roman" w:cs="Times New Roman"/>
          <w:sz w:val="24"/>
          <w:szCs w:val="24"/>
        </w:rPr>
        <w:t>Хэширование</w:t>
      </w:r>
      <w:proofErr w:type="spellEnd"/>
      <w:r w:rsidRPr="005B7E0E">
        <w:rPr>
          <w:rFonts w:ascii="Times New Roman" w:eastAsia="Times New Roman" w:hAnsi="Times New Roman" w:cs="Times New Roman"/>
          <w:sz w:val="24"/>
          <w:szCs w:val="24"/>
        </w:rPr>
        <w:t xml:space="preserve"> и пароли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Современные алгоритмы шифрования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lastRenderedPageBreak/>
        <w:t>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та: «Шифрование и дешифрование». Стеганография. Безопасность в Интернете.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Решение заданий ОГЭ по информатике, включающих такие содержательные элементы, как защита информации от компьютерных вирусов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Решение заданий ЕГЭ по информатике, включающих такие содержательные элементы, как информационная этика и право, информационная безопасность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E0E" w:rsidRPr="005B7E0E" w:rsidRDefault="005B7E0E" w:rsidP="005B7E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20A" w:rsidRDefault="00F1320A" w:rsidP="00F132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  <w:r w:rsidRPr="00F1320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B7E0E" w:rsidRPr="005B7E0E">
        <w:rPr>
          <w:rFonts w:ascii="Times New Roman" w:eastAsia="Times New Roman" w:hAnsi="Times New Roman" w:cs="Times New Roman"/>
          <w:b/>
          <w:sz w:val="24"/>
          <w:szCs w:val="24"/>
        </w:rPr>
        <w:t>Технологии обработки и анализа больших объемов данных</w:t>
      </w:r>
    </w:p>
    <w:p w:rsidR="00F1320A" w:rsidRDefault="00F1320A" w:rsidP="00F132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FF9" w:rsidRDefault="005B7E0E" w:rsidP="008A0FF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E0E">
        <w:rPr>
          <w:rFonts w:ascii="Times New Roman" w:eastAsia="Times New Roman" w:hAnsi="Times New Roman" w:cs="Times New Roman"/>
          <w:sz w:val="24"/>
          <w:szCs w:val="24"/>
        </w:rPr>
        <w:t>Определение больших данных. Технол</w:t>
      </w:r>
      <w:r>
        <w:rPr>
          <w:rFonts w:ascii="Times New Roman" w:eastAsia="Times New Roman" w:hAnsi="Times New Roman" w:cs="Times New Roman"/>
          <w:sz w:val="24"/>
          <w:szCs w:val="24"/>
        </w:rPr>
        <w:t>огии хранения больших данных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Источники больших данных.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Характеристика 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феры применения больших данных.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Методы и техники анализ</w:t>
      </w:r>
      <w:r>
        <w:rPr>
          <w:rFonts w:ascii="Times New Roman" w:eastAsia="Times New Roman" w:hAnsi="Times New Roman" w:cs="Times New Roman"/>
          <w:sz w:val="24"/>
          <w:szCs w:val="24"/>
        </w:rPr>
        <w:t>а, применимые к большим данным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Основы построения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нейросетей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Место нейрокомпьютеров в современ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информационных технологиях.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Решение кейса: «Технологии обработки и а</w:t>
      </w:r>
      <w:r w:rsidR="008A0FF9">
        <w:rPr>
          <w:rFonts w:ascii="Times New Roman" w:eastAsia="Times New Roman" w:hAnsi="Times New Roman" w:cs="Times New Roman"/>
          <w:sz w:val="24"/>
          <w:szCs w:val="24"/>
        </w:rPr>
        <w:t xml:space="preserve">нализа больших объемов данных». </w:t>
      </w:r>
      <w:r w:rsidRPr="005B7E0E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работы</w:t>
      </w:r>
      <w:r w:rsidR="008A0F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71A" w:rsidRDefault="005B7E0E" w:rsidP="008A0FF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E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20C6" w:rsidRDefault="00C65BC8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25714" w:rsidRDefault="00B25714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(мультимедийное устройство).</w:t>
      </w:r>
    </w:p>
    <w:p w:rsidR="00184D7E" w:rsidRDefault="00184D7E" w:rsidP="00FD5D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8D4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B601DC" w:rsidRDefault="00B601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06FE" w:rsidRDefault="004D06FE" w:rsidP="004D06FE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Углубленный уровень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10 класса : в 2 ч. Ч. 1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Ю. Поляков, Е. А. Еремин. – 6-е изд., стереотип.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2017. – 344 с.</w:t>
      </w:r>
    </w:p>
    <w:p w:rsidR="004D06FE" w:rsidRDefault="004D06FE" w:rsidP="004D06FE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Углубленный уровень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 для 10 класса : в 2 ч. Ч. 2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К. Ю. Поляков, Е. А. Еремин. – 6-е изд., стереотип. – М.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Лаборатория знаний, 2017. – 30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4 с.</w:t>
      </w:r>
    </w:p>
    <w:p w:rsidR="004D06FE" w:rsidRPr="00731A5B" w:rsidRDefault="004D06FE" w:rsidP="004D06FE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Углу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бленный уровень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11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: в 2 ч. Ч. 1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Ю. Поляков, Е. А. Еремин. – 7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-е изд., стереотип. – М.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2018. – 248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:rsidR="004D06FE" w:rsidRDefault="004D06FE" w:rsidP="004D06FE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Углу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бленный уровень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11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: в 2 ч. Ч. 2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Ю. Поляков, Е. А. Еремин. – 7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-е изд., стереотип. – М.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2018. – 248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06FE" w:rsidRDefault="004D06FE" w:rsidP="004D06FE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заседания от 8 апреля 2015 г. № 1/15) [Электронный ресурс] – Режим доступа: http://fgosreestr.ru/ (дата обращения: 19.04.2021)</w:t>
      </w:r>
    </w:p>
    <w:p w:rsidR="004D06FE" w:rsidRPr="00731A5B" w:rsidRDefault="004D06FE" w:rsidP="004D06FE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заседания от 28 июня 2016 г. № 2/16-з) [Электронный ресурс] – Режим доступа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http://fgosreestr.ru/ (дата обращения: 19.04.2021)</w:t>
      </w:r>
    </w:p>
    <w:p w:rsidR="009620C6" w:rsidRDefault="009620C6" w:rsidP="006172AE">
      <w:pPr>
        <w:tabs>
          <w:tab w:val="left" w:pos="0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0C6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20C6"/>
    <w:rsid w:val="000256BB"/>
    <w:rsid w:val="0007612D"/>
    <w:rsid w:val="00095C96"/>
    <w:rsid w:val="000B52DD"/>
    <w:rsid w:val="000C0E14"/>
    <w:rsid w:val="000C4535"/>
    <w:rsid w:val="000D12A9"/>
    <w:rsid w:val="000D7999"/>
    <w:rsid w:val="00154E07"/>
    <w:rsid w:val="00184D7E"/>
    <w:rsid w:val="001A5850"/>
    <w:rsid w:val="001B6FAD"/>
    <w:rsid w:val="001C0246"/>
    <w:rsid w:val="001C7336"/>
    <w:rsid w:val="0023219C"/>
    <w:rsid w:val="00232A68"/>
    <w:rsid w:val="00256A26"/>
    <w:rsid w:val="00274163"/>
    <w:rsid w:val="002A57C3"/>
    <w:rsid w:val="002A79B0"/>
    <w:rsid w:val="00324DDB"/>
    <w:rsid w:val="00326952"/>
    <w:rsid w:val="003D45B1"/>
    <w:rsid w:val="003F37E9"/>
    <w:rsid w:val="00435787"/>
    <w:rsid w:val="004411E8"/>
    <w:rsid w:val="00483A2A"/>
    <w:rsid w:val="004D06FE"/>
    <w:rsid w:val="004D540D"/>
    <w:rsid w:val="004D5B45"/>
    <w:rsid w:val="004F28ED"/>
    <w:rsid w:val="004F6C77"/>
    <w:rsid w:val="00500591"/>
    <w:rsid w:val="00560ED4"/>
    <w:rsid w:val="00582876"/>
    <w:rsid w:val="005A3460"/>
    <w:rsid w:val="005A3600"/>
    <w:rsid w:val="005B7E0E"/>
    <w:rsid w:val="006172AE"/>
    <w:rsid w:val="006B0B72"/>
    <w:rsid w:val="007028AA"/>
    <w:rsid w:val="00747F9D"/>
    <w:rsid w:val="007565AC"/>
    <w:rsid w:val="0077226B"/>
    <w:rsid w:val="0078017B"/>
    <w:rsid w:val="007C1D38"/>
    <w:rsid w:val="007C4363"/>
    <w:rsid w:val="0080510D"/>
    <w:rsid w:val="00826C1E"/>
    <w:rsid w:val="008A0FF9"/>
    <w:rsid w:val="008A51E1"/>
    <w:rsid w:val="008B1CC6"/>
    <w:rsid w:val="008D4B57"/>
    <w:rsid w:val="0094085A"/>
    <w:rsid w:val="009620C6"/>
    <w:rsid w:val="0098542B"/>
    <w:rsid w:val="00A3752B"/>
    <w:rsid w:val="00AC4781"/>
    <w:rsid w:val="00B25714"/>
    <w:rsid w:val="00B601DC"/>
    <w:rsid w:val="00B6252E"/>
    <w:rsid w:val="00B64243"/>
    <w:rsid w:val="00B956DF"/>
    <w:rsid w:val="00BA0C46"/>
    <w:rsid w:val="00BB2118"/>
    <w:rsid w:val="00BC4FE3"/>
    <w:rsid w:val="00BE0EF4"/>
    <w:rsid w:val="00C65BC8"/>
    <w:rsid w:val="00C67ECA"/>
    <w:rsid w:val="00C702AC"/>
    <w:rsid w:val="00C76050"/>
    <w:rsid w:val="00C8622B"/>
    <w:rsid w:val="00CA5612"/>
    <w:rsid w:val="00CA7ABC"/>
    <w:rsid w:val="00D33E34"/>
    <w:rsid w:val="00D50D03"/>
    <w:rsid w:val="00DD72DF"/>
    <w:rsid w:val="00E77051"/>
    <w:rsid w:val="00E9271A"/>
    <w:rsid w:val="00EC4E25"/>
    <w:rsid w:val="00F1320A"/>
    <w:rsid w:val="00F24AB1"/>
    <w:rsid w:val="00F35448"/>
    <w:rsid w:val="00F51DCC"/>
    <w:rsid w:val="00FA137A"/>
    <w:rsid w:val="00FD4C65"/>
    <w:rsid w:val="00FD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0A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Props1.xml><?xml version="1.0" encoding="utf-8"?>
<ds:datastoreItem xmlns:ds="http://schemas.openxmlformats.org/officeDocument/2006/customXml" ds:itemID="{62749774-8610-45CD-81B9-19204D859253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D80A129-0A35-4BF4-B764-680A45DF57CE}"/>
</file>

<file path=customXml/itemProps4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2021-09-05T20:53:00Z</dcterms:created>
  <dcterms:modified xsi:type="dcterms:W3CDTF">2021-09-05T20:53:00Z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